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>监委会工作经费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t xml:space="preserve"> 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根据《新晃侗族自治县财政局关于做好2023年度部门预算执行情况绩效自评工作的通知》（晃财绩〔2024〕2号）要求，我镇对2023年部门整体支出进行了绩效自评，现报告如下：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</w:pP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全镇共辖有鱼市前锋联合村、新桥村、光辉村、老黄冲村、团溪村、岩山村、晏家村、斗溪村、华南村、大坝河村、大鱼塘社区居委会。</w:t>
      </w:r>
      <w:r>
        <w:rPr>
          <w:rFonts w:hint="default" w:ascii="宋体" w:hAnsi="宋体" w:eastAsia="仿宋_GB2312" w:cs="宋体"/>
          <w:sz w:val="32"/>
          <w:szCs w:val="32"/>
          <w:lang w:val="en-US" w:eastAsia="zh-CN" w:bidi="ar-SA"/>
        </w:rPr>
        <w:t>202</w:t>
      </w:r>
      <w:r>
        <w:rPr>
          <w:rFonts w:hint="eastAsia" w:ascii="宋体" w:hAnsi="宋体" w:eastAsia="仿宋_GB2312" w:cs="宋体"/>
          <w:sz w:val="32"/>
          <w:szCs w:val="32"/>
          <w:lang w:val="en-US" w:eastAsia="zh-CN" w:bidi="ar-SA"/>
        </w:rPr>
        <w:t>3年县级安排监委会工作经费资金1.1万元，预算资金100%支出。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保障村级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监督委员会工作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的正常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开展，发挥好基层纪检监察组织的监督作用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按时发放监委会工作经费，稳定村监督委员队伍，更好的服务群众。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eastAsia="仿宋_GB2312"/>
          <w:sz w:val="32"/>
          <w:szCs w:val="32"/>
          <w:lang w:val="en-US" w:eastAsia="zh-CN"/>
        </w:rPr>
        <w:t>监委会工作经费及时发放到位为项目评价目的，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运用科学合理的绩效评价指标、评价标准和评价方法，遵循公正公开原则、科学规范原则、绩效相关原则对监委会工作经费项目实施全过程及其经济性、效率性和效益性进行综合评价。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</w:t>
      </w:r>
      <w:r>
        <w:rPr>
          <w:rFonts w:hint="eastAsia" w:eastAsia="仿宋_GB2312"/>
          <w:sz w:val="32"/>
          <w:szCs w:val="32"/>
          <w:lang w:val="en-US" w:eastAsia="zh-CN"/>
        </w:rPr>
        <w:t>监委会工作经费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项目经费使用情况和效果，具体为资金拨付、项目的开展、村干绩效发放等目标是否完成等。绩效评价范围为2023年度资金的使用是否规范，是否发放到位。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2023年度，</w:t>
      </w:r>
      <w:r>
        <w:rPr>
          <w:rFonts w:hint="eastAsia" w:eastAsia="仿宋_GB2312"/>
          <w:sz w:val="32"/>
          <w:szCs w:val="32"/>
          <w:lang w:val="en-US" w:eastAsia="zh-CN"/>
        </w:rPr>
        <w:t>监委会工作经费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项目年初预算安排1.1万元，2023年支付1.1万元。项目资金属于专款专用资金，接受财政、审计部门的监督，做到专款专用，无占用、挪用等情况，财务制度健全，财务处理及时，会计核算规范。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目绩效自评分为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98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（一）项目决策情况：项目严格按照相关文件规定，资金的监管由镇财政所管理专款专用。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（二）项目过程情况：项目目在开展过程中严格按照项目管理办法和资金使用制度，做到项目资金专款专用、按项目独立核算、无截留、挤占、挪用、虚列支出等情况发生。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（三）项目产出情况：</w:t>
      </w:r>
      <w:r>
        <w:rPr>
          <w:rFonts w:hint="eastAsia" w:eastAsia="仿宋_GB2312"/>
          <w:sz w:val="32"/>
          <w:szCs w:val="32"/>
          <w:lang w:val="en-US" w:eastAsia="zh-CN"/>
        </w:rPr>
        <w:t>监委会工作经费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发放覆盖率100%。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（四）项目效益情况：工作质量显著提升，服务对象满意度≥95%。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在资金使用过程中，严格执行单位相关资金管理制度，做到厉行节约、专款专用，同时开展好资金使用公开公示制度，经费使用透明化。</w:t>
      </w:r>
      <w:r>
        <w:rPr>
          <w:rFonts w:hint="eastAsia" w:ascii="仿宋" w:hAnsi="仿宋" w:eastAsia="仿宋" w:cs="仿宋"/>
          <w:sz w:val="30"/>
          <w:szCs w:val="30"/>
          <w:lang w:val="en-US" w:eastAsia="zh-CN" w:bidi="ar-SA"/>
        </w:rPr>
        <w:t>下一步，结合开好“一四五”新局、做好乡村振兴、推动社会高质量发展的工作目标，一要加强财政资金监管，管好用好专项资金;二要总结经验，迅速落实政策保障。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4月1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ind w:firstLine="4000" w:firstLineChars="20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73E4B40"/>
    <w:rsid w:val="25ED724F"/>
    <w:rsid w:val="27257626"/>
    <w:rsid w:val="2EC7794B"/>
    <w:rsid w:val="2F9A51A3"/>
    <w:rsid w:val="587A5828"/>
    <w:rsid w:val="5FD412E1"/>
    <w:rsid w:val="6C454A18"/>
    <w:rsid w:val="7490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1281</Words>
  <Characters>1343</Characters>
  <Lines>0</Lines>
  <Paragraphs>0</Paragraphs>
  <TotalTime>1</TotalTime>
  <ScaleCrop>false</ScaleCrop>
  <LinksUpToDate>false</LinksUpToDate>
  <CharactersWithSpaces>1420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dcterms:modified xsi:type="dcterms:W3CDTF">2024-04-17T07:43:17Z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77D7DDFD92E94DD5BB05FBD6DCB3858A_13</vt:lpwstr>
  </property>
</Properties>
</file>